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color w:val="ff6600"/>
          <w:sz w:val="38"/>
          <w:szCs w:val="3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rtl w:val="0"/>
        </w:rPr>
        <w:t xml:space="preserve">Cómo aprovechar las temporadas de rebajas en 2022: guía para compradores y comercios  </w:t>
      </w:r>
    </w:p>
    <w:p w:rsidR="00000000" w:rsidDel="00000000" w:rsidP="00000000" w:rsidRDefault="00000000" w:rsidRPr="00000000" w14:paraId="00000002">
      <w:pPr>
        <w:jc w:val="both"/>
        <w:rPr>
          <w:rFonts w:ascii="Montserrat" w:cs="Montserrat" w:eastAsia="Montserrat" w:hAnsi="Montserrat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  <w:color w:val="66666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highlight w:val="white"/>
          <w:rtl w:val="0"/>
        </w:rPr>
        <w:t xml:space="preserve">Durante coyunturas comerciales los compradores adquieren productos al mejor precio y las empresas implementan nuevas estrategias de negocios. 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Ciudad de México, 14 de febrero de 2022.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 En los últimos años aumentó la cantidad 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fechas comerciales en las que los mexicanos acceden a mejores precios y ofertas.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Para los comercios esto es beneficioso porque cada año los indicadores en el incremento de ingresos son posibles y positivos.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acuerdo a la Asociación Mexicana de Ventas Online (AMVO), el Hot Sale 2020 acumuló 521 millones de pesos en ventas y en el 2021 se llegó hasta 567 mpd. El Buen Fin 2020 generó $238 mil mdp, un aumento del 107% en comparación de 2019. Mientras que en el 2021 se alcanzaron los $191 mil mdp que, aunque fue menos, es una cifra destacable ya que la pasada edición duró cinco días menos que la del 2020.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“Ahora que el 2022 comienza, los comercios mantendrán el aumento de sus ventas durante fechas clave y lo harán con promociones más atractivas”, men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cionó Sergio Villarruel, Country Manager en Fiserv México, líder en tecnología financiera y procesamiento de pagos.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Por lo tanto, si el consumidor quiere hacer una compra provechosa debe estar atento al comportamiento de los comercios. ¿Cuáles son las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recomendaciones para aprovechar las próximas temporadas de rebajas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? Aquí están algunas: 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Anticiparse.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Al planear la compra de un artículo, hay que hacer comparaciones de precios, disponibilidad y diferencias en relación a otras marcas.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Seguir la pista.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Los más atentos a redes sociales o newsletters son los primeros en enterarse de información exclusiva o consiguen códigos de descuento.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Fijarse en dónde pagar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. Cualquiera puede ser víctima de un fraude, sobre todo en línea. Es importante comprar en comercios que muestran sus certificaciones, tecnología y políticas de seguridad en sus procesamientos de pagos. 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Para los negocios no todo es ofertas, también deben repensar la calidad de sus servicios de atención al cliente para conocer mejor a sus compradores y sus necesidades, impulsando así sus ganancias. Una de las áreas de oportunidad para asegurar una positiva experiencia de usuario es brindar una diversidad y oferta de pagos que sea omnicanal.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Al finalizar el Hot Sale 2021, la AMVO reportó que el 27% de los encuestados no compradores esperaban que se ofrecieran más formas de pagar además de débito y crédito. En el Buen Fin 2021, 7 de cada 10 compradores adquirieron sus artículos combinando canales físicos y digitales según el mismo organismo.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La omnicanalidad de pagos es una ventaja competitiva que Fiserv impulsa entre comercios físicos y digitales. Gateway es una plataforma para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eCommerce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que incluye métodos de pagos como una terminal virtual, cargos recurrentes, y ligas de pagos, mientras que First Data Go es una terminal versátil de aceptación de pagos contactless, vales, ewallets y  tarjetas tanto nacionales como extranjeras. Ambas soluciones de pago aceptan todas las tarjetas bancarias y ofrecen Meses Sin Intereses. 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“Al fusionar ambas soluciones se abre una oferta funcional y omnicanal de pagos pensada para cada tipo de comprador. Y los beneficios para los comercios es que obtienen información valiosa de ventas, métricas de consumo y estatus de sus productos, lo que les permite ser más estratégicos de acuerdo a temporalidades”, agregó el directivo. 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 lo largo del 2022 habrá muchas maneras en las que las empresas se renovarán, pero serán aquellas que integren lo presencial y lo electrónico las más beneficiadas. Con un sistema omnicanal de pagos, las compañías aumentan todavía más la probabilidad de ampliar sus ventas y en paralelo mejorar la satisfacción del comprador.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*****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Acerca de Fiserv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 Inc. (NASDAQ: FISV) aspira a mover dinero e información en una manera que mueva al mundo. Como un líder mundial en pagos y tecnología financiera, la compañía ayuda a los clientes a lograr los mejores resultados a través de un compromiso con la innovación y la excelencia en áreas que incluyen procesamiento de cuentas y soluciones de banca digital; procesamiento emisor de tarjetas y servicios de red; pagos; comercio electrónico; la adquirencia y procesamiento de comercios; y la solución de punto de venta basada en la nube Clover®.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 es miembro del Índice S&amp;P500® y FORTUNE 500®, ha sido reconocida como una de las Compañías Más Admiradas del Mundo de FORTUNE® e</w:t>
      </w:r>
      <w:r w:rsidDel="00000000" w:rsidR="00000000" w:rsidRPr="00000000">
        <w:rPr>
          <w:color w:val="201f1e"/>
          <w:highlight w:val="white"/>
          <w:rtl w:val="0"/>
        </w:rPr>
        <w:t xml:space="preserve">n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11 de los pasados 14 años. Visite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fiserv.com</w:t>
        </w:r>
      </w:hyperlink>
      <w:hyperlink r:id="rId8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y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síganos en las redes sociales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para obtener más información y las últimas noticias de la compañía.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Facebook: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Instagram: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Youtube: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Página web: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highlight w:val="white"/>
            <w:u w:val="single"/>
            <w:rtl w:val="0"/>
          </w:rPr>
          <w:t xml:space="preserve">Fiserv México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Contacto: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EJECUTIVO DE CUENTA</w:t>
        <w:tab/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Ameyalli Sampedro</w:t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ameyalli.sampedro@another.co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5523659465</w:t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right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fiservmexico/" TargetMode="External"/><Relationship Id="rId10" Type="http://schemas.openxmlformats.org/officeDocument/2006/relationships/hyperlink" Target="https://www.facebook.com/fiservmexico/?epa=SEARCH_BOX" TargetMode="External"/><Relationship Id="rId13" Type="http://schemas.openxmlformats.org/officeDocument/2006/relationships/hyperlink" Target="https://merchants.fiserv.com/es-mx/" TargetMode="External"/><Relationship Id="rId12" Type="http://schemas.openxmlformats.org/officeDocument/2006/relationships/hyperlink" Target="https://www.youtube.com/channel/UCoWqenelNyhJZc_fj3M09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company/fiserv/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meyalli.sampedro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iserv.com/" TargetMode="External"/><Relationship Id="rId8" Type="http://schemas.openxmlformats.org/officeDocument/2006/relationships/hyperlink" Target="https://www.fiserv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u0LdvZ7L3NebwPg5zVkU3aZrQ==">AMUW2mUZUYjzLKee2oaRvWVf4Ulqupa2yzVTmfMMy82W1nRJb6eI11hXAuZm5zMSR5kCl+VwI8xJ1oKNUW3KOXowphFncSS9WAdwks+8kq5lTwKoyD/7TNg=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2022-02-09T17:52:00Z</dcterms:created>
</cp:coreProperties>
</file>